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/>
        <w:jc w:val="center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  <w:t xml:space="preserve">Мораторий на проверки в 2022 году 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Правительством Российской Федерации 10 марта 2022 года принято постановление № 336 «Об особенностях организации и осуществления государственного контроля (надзора), муниципального контроля».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Данным постановлением закреплено, что плановые проверки, порядок и организация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2022 году не проводятся.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Исключением из этого правила стали: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а) федеральный государственный санитарно-эпидемиологический контроль (надзор) в отношении объектов, отнесенных к категории чрезвычайно высокого риска, в частности, в отношении деятельности по водоподготовке и водоснабжению;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б) федеральный государственный пожарный надзор в отношении объектов, отнесенных к категории чрезвычайно высокого риска, высокого риска;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в) федеральный государственный надзор в области промышленной безопасности в отношении опасных производственных объектов, отнесенных ко второму классу опасности;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г) федеральный государственный ветеринарный контроль (надзор) в отношении деятельности по содержанию, разведению и убою свиней.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Необходимо отметить, что контрольный (надзорный) орган вправе осуществить вместо плановой проверки профилактический визит. Контролируемое лицо не вправе отказаться от профилактического визита в данном случае.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Кроме того, установлены особенности проведения внеплановых проверок.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При условии согласования с органами прокуратуры будут проводиться следующие проверки: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- 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- 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 и (или) техногенного характера;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- 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 в распоряжении контрольного (надзорного) органа информации;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- в рамках регионального государственного лицензионного контроля за осуществлением предпринимательской деятельностью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 своих нарушенных прав;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- 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предпринимателей, за исключением случая, если в рамках выездного обследования выявлены признаки нарушений обязательных требований, инспектор вправе незамедлительно провести контрольную закупку (при условии, что возможность проведения контрольной закупки в соответствии с настоящей статьей предусмотрена положением о виде контроля). В отношении проведения контрольной закупки не требуется принятие решения о проведении данного контрольного (надзорного) мероприятия. Информация о проведении контрольной закупки вносится в единый реестр контрольных (надзорных) мероприятий в течение одного рабочего дня с момента завершения контрольной закупки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Кроме того, установлены особенности проведения внеплановых проверок без согласования с органами прокуратуры.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Среди прочих, внеплановые проверки будут проводиться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Также срок исполнения ранее выданных предписаний продлевается автоматически на 90 календарных дней со дня истечения срока его исполнения без заявления контролируемого лица. Контролируемое лицо вправе направить заявление о дополнительном продлении срока исполнения предписания.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7" w:other="7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0"/>
    </w:tmLastPosCaret>
    <w:tmLastPosAnchor>
      <w:tmLastPosPgfIdx w:val="0"/>
      <w:tmLastPosIdx w:val="34"/>
    </w:tmLastPosAnchor>
    <w:tmLastPosTblRect w:left="0" w:top="0" w:right="0" w:bottom="0"/>
  </w:tmLastPos>
  <w:tmAppRevision w:date="165468915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2022-06-08T11:49:32Z</dcterms:created>
  <dcterms:modified xsi:type="dcterms:W3CDTF">2022-06-08T11:52:30Z</dcterms:modified>
</cp:coreProperties>
</file>